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2027</w:t>
      </w:r>
      <w:r>
        <w:rPr>
          <w:rFonts w:ascii="Times New Roman" w:eastAsia="Times New Roman" w:hAnsi="Times New Roman" w:cs="Times New Roman"/>
          <w:sz w:val="28"/>
          <w:szCs w:val="28"/>
        </w:rPr>
        <w:t>-2613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находящ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по адресу: Тюменская область, г. Сургут,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Гагарина, д. 9 каб. </w:t>
      </w:r>
      <w:r>
        <w:rPr>
          <w:rFonts w:ascii="Times New Roman" w:eastAsia="Times New Roman" w:hAnsi="Times New Roman" w:cs="Times New Roman"/>
          <w:sz w:val="28"/>
          <w:szCs w:val="28"/>
        </w:rPr>
        <w:t>501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дело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12.12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Style w:val="cat-FIOgrp-20rplc-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41rplc-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6rplc-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2rplc-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4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honeNumbergrp-31rplc-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Style w:val="cat-ExternalSystemDefinedgrp-40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12rplc-1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28rplc-11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Style w:val="cat-Addressgrp-5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5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гр. </w:t>
      </w:r>
      <w:r>
        <w:rPr>
          <w:rStyle w:val="cat-FIOgrp-21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управляя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Лада Гранта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имеющим </w:t>
      </w:r>
      <w:r>
        <w:rPr>
          <w:rStyle w:val="cat-CarNumbergrp-30rplc-16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проезд через регулируемый перекресток на запрещающий сигнал светофора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повторно,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нарушил п. </w:t>
      </w:r>
      <w:r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FIOgrp-21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времени и месте судебного заседания извещен надлежащим образом судебной повесткой, СМС-сообщением, в судебное заседание явился, </w:t>
      </w:r>
      <w:r>
        <w:rPr>
          <w:rFonts w:ascii="Times New Roman" w:eastAsia="Times New Roman" w:hAnsi="Times New Roman" w:cs="Times New Roman"/>
          <w:sz w:val="28"/>
          <w:szCs w:val="28"/>
        </w:rPr>
        <w:t>до судебного заседания заявил ходатайство о рассмотрении дела в свое отсутствие, с правонарушением согласен, вину признает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зучив представленные материалы дела, суд считает вину </w:t>
      </w:r>
      <w:r>
        <w:rPr>
          <w:rStyle w:val="cat-FIOgrp-21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частью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12.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РФ об административных правонарушениях, установленной, что подтверждается следующими доказательствами: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</w:t>
      </w:r>
      <w:r>
        <w:rPr>
          <w:rStyle w:val="cat-PhoneNumbergrp-32rplc-1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2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2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28rplc-22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Style w:val="cat-Addressgrp-5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6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Сургута, гр. </w:t>
      </w:r>
      <w:r>
        <w:rPr>
          <w:rStyle w:val="cat-FIOgrp-21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Style w:val="cat-CarMakeModelgrp-29rplc-27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имеющим </w:t>
      </w:r>
      <w:r>
        <w:rPr>
          <w:rStyle w:val="cat-CarNumbergrp-30rplc-28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 совершил проезд через регулируемый перекресток на запрещающий сигнал светофора, повторно, чем нарушил п. 6.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Style w:val="cat-UserDefinedgrp-47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07.03</w:t>
      </w:r>
      <w:r>
        <w:rPr>
          <w:rFonts w:ascii="Times New Roman" w:eastAsia="Times New Roman" w:hAnsi="Times New Roman" w:cs="Times New Roman"/>
          <w:sz w:val="28"/>
          <w:szCs w:val="28"/>
        </w:rPr>
        <w:t>.2025 г.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1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 12.12 КоАП РФ за </w:t>
      </w:r>
      <w:r>
        <w:rPr>
          <w:rFonts w:ascii="Times New Roman" w:eastAsia="Times New Roman" w:hAnsi="Times New Roman" w:cs="Times New Roman"/>
          <w:sz w:val="28"/>
          <w:szCs w:val="28"/>
        </w:rPr>
        <w:t>проезд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запрещающий сигнал светофора. Постановление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18.03.2025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сведениями </w:t>
      </w:r>
      <w:r>
        <w:rPr>
          <w:rFonts w:ascii="Times New Roman" w:eastAsia="Times New Roman" w:hAnsi="Times New Roman" w:cs="Times New Roman"/>
          <w:sz w:val="28"/>
          <w:szCs w:val="28"/>
        </w:rPr>
        <w:t>о ранее совершенных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сведениями о наличии водительского удостоверения;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рапортом сотрудника Госавтоинспекции УМВД России по ХМАО-Югре, в котором изложены обстоятельства административного правонарушения;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видеоматериалом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документы суд признает относимыми, допустимыми и достоверными доказательствами, так как они составлены уполномоченными на то лицами в соответствии с требованиями КоАП РФ, полностью согласуются между собой.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 6.13 ПДД РФ - при запрещающем сигнале светофора (кроме реверсивного) или регулировщика водители должны остановиться перед стоп-линией (</w:t>
      </w:r>
      <w:hyperlink w:anchor="sub_961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знаком 6.16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), а при ее отсутствии на перекрестке - перед пересекаемой проезжей частью (с учетом </w:t>
      </w:r>
      <w:hyperlink w:anchor="sub_13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пункта 13.7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Правил), не создавая помех пешеходам.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п. 6.2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 (с изм. и доп.) круглые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пунктом 6.14 Правил, и предупреждает о предстоящей смене сигналов; желтый мигающий сигнал разрешает движение и информирует о наличии нерегулируемого перекрестка или пешеходного перехода, предупреждает об опасности; красный сигнал, в том числе мигающий, запрещает движение. Сочетание красного и желтого сигналов запрещает движение и информирует о предстоящем включении зеленого сигнала.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п. 6.2 Правил дорожного движения Российской Федерации, утвержденных постановлением Правительства Российской Федерации от </w:t>
      </w:r>
      <w:r>
        <w:rPr>
          <w:rStyle w:val="cat-Dategrp-16rplc-3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1090 (с изм. и доп.) сигналы светофора, выполненные в виде стрелок красного, желтого и зеленого цветов, имеют то же значение, что и круглые сигналы соответствующего цвета, но их действие распространяется только на направление (направления), указываемое стрелками. При этом стрелка, разрешающая поворот налево, разрешает и разворот, если это не запрещено соответствующим дорожным знаком.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п. 6.3. Правил дорожного движения Российской Федерации Сигналы светофора, выполненные в виде стрелок красного, желтого и зеленого цветов, имеют то же значение, что и круглые сигналы соответствующего цвета, но их действие распространяется только на направление (направления), указываемое стрелками. При этом стрелка, разрешающая поворот налево, разрешает и разворот, если это не запрещено соответствующим дорожным знаком.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Такое же значение имеет зеленая стрелка в дополнительной секции. Выключенный сигнал дополнительной секции или включенный световой сигнал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красного цвета ее контура означает запрещение движения в направлении, регулируемом этой секцией.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 выше приведенные доказательства в их совокупности, суд считает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Султыгов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полностью доказанной, а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подлежащими квалификации по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повторное совершение административного правонарушения, предусмотренного частью 1 ст. 12.12 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4.2 КоАП РФ,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предусмотренных ст. 4.3 КоАП РФ, отягчающим административную ответственность, относится повторное совершение однородного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смыслу закона административные правонарушения, предусмотренные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РФ об административных правонарушениях, являются однородными, поскольку имеют единый родовой объект посягательства.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учитывает в качестве обстоятельства отягчающего административную ответственность привлечение </w:t>
      </w:r>
      <w:r>
        <w:rPr>
          <w:rStyle w:val="cat-FIOgrp-21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ч. 1 ст. 12.12 КоАП РФ, поскольку квалифицирующим признаком ч. 3 ст. 12.12 КоАП РФ является повторность совершения правонарушения ч. 1 ст. 12.12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наказания, учитывая общественную опасность деяния, характер совершенного правонарушения, личность нарушителя, считаю возможным назначить </w:t>
      </w:r>
      <w:r>
        <w:rPr>
          <w:rStyle w:val="cat-FIOgrp-21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штрафа.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ст.ст. 29.9-29.11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</w:t>
      </w:r>
      <w:r>
        <w:rPr>
          <w:rFonts w:ascii="Times New Roman" w:eastAsia="Times New Roman" w:hAnsi="Times New Roman" w:cs="Times New Roman"/>
          <w:sz w:val="28"/>
          <w:szCs w:val="28"/>
        </w:rPr>
        <w:t>АП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20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3 ст. 12.12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семь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на расчетный счет 40102810245370000007 в ОКЦ №8 УГУ Банка России//УФК по ХМАО-Югре г. Ханты-Мансийск ИНН 8601010390 КПП 860101001 БИК 007162163 ОКТМО 71876000 КБК 188 116 0 112301000 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номер счета получателя: 03100643000000018700 Получатель: УФК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Ханты – Мансийскому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автономному округу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Югре (УМВД России по Ханты-Мансийскому автономному округу – Югре), УИН </w:t>
      </w:r>
      <w:r>
        <w:rPr>
          <w:rFonts w:ascii="Times New Roman" w:eastAsia="Times New Roman" w:hAnsi="Times New Roman" w:cs="Times New Roman"/>
          <w:sz w:val="28"/>
          <w:szCs w:val="28"/>
        </w:rPr>
        <w:t>18810486250320022918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течение десяти дней со дня вручения или получения копии постановления в Сургутский городской суд Ханты-Мансийского автономного округа – Югры через мирового судью судебного участка № 13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Д.Б. Айткулова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Д.Б. Айткулова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tabs>
          <w:tab w:val="left" w:pos="4260"/>
        </w:tabs>
        <w:spacing w:before="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хранится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sz w:val="18"/>
          <w:szCs w:val="18"/>
        </w:rPr>
        <w:t>-2613/2025.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Судебный акт не вступил в законную силу по состоянию на </w:t>
      </w:r>
      <w:r>
        <w:rPr>
          <w:rStyle w:val="cat-Dategrp-18rplc-35"/>
          <w:rFonts w:ascii="Times New Roman" w:eastAsia="Times New Roman" w:hAnsi="Times New Roman" w:cs="Times New Roman"/>
          <w:sz w:val="18"/>
          <w:szCs w:val="18"/>
        </w:rPr>
        <w:t>дата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</w:t>
      </w:r>
      <w:r>
        <w:rPr>
          <w:rStyle w:val="cat-SumInWordsgrp-25rplc-36"/>
          <w:rFonts w:ascii="Times New Roman" w:eastAsia="Times New Roman" w:hAnsi="Times New Roman" w:cs="Times New Roman"/>
          <w:sz w:val="18"/>
          <w:szCs w:val="18"/>
        </w:rPr>
        <w:t>сумма прописью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либо административному аресту на срок до 15 суток, либо обязательных работ на срок до пятидесяти часов. Копию квитанции об оплате административного штрафа необходимо представить по адресу: </w:t>
      </w:r>
      <w:r>
        <w:rPr>
          <w:rStyle w:val="cat-Addressgrp-10rplc-37"/>
          <w:rFonts w:ascii="Times New Roman" w:eastAsia="Times New Roman" w:hAnsi="Times New Roman" w:cs="Times New Roman"/>
          <w:sz w:val="18"/>
          <w:szCs w:val="18"/>
        </w:rPr>
        <w:t>адрес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, каб. 101. 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ГИБДД УМВД России по </w:t>
      </w:r>
      <w:r>
        <w:rPr>
          <w:rStyle w:val="cat-Addressgrp-4rplc-38"/>
          <w:rFonts w:ascii="Times New Roman" w:eastAsia="Times New Roman" w:hAnsi="Times New Roman" w:cs="Times New Roman"/>
          <w:sz w:val="18"/>
          <w:szCs w:val="18"/>
        </w:rPr>
        <w:t>адрес</w:t>
      </w:r>
      <w:r>
        <w:rPr>
          <w:rFonts w:ascii="Times New Roman" w:eastAsia="Times New Roman" w:hAnsi="Times New Roman" w:cs="Times New Roman"/>
          <w:sz w:val="18"/>
          <w:szCs w:val="18"/>
        </w:rPr>
        <w:t>. 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удостоверения.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20rplc-0">
    <w:name w:val="cat-FIO grp-20 rplc-0"/>
    <w:basedOn w:val="DefaultParagraphFont"/>
  </w:style>
  <w:style w:type="character" w:customStyle="1" w:styleId="cat-ExternalSystemDefinedgrp-41rplc-1">
    <w:name w:val="cat-ExternalSystemDefined grp-41 rplc-1"/>
    <w:basedOn w:val="DefaultParagraphFont"/>
  </w:style>
  <w:style w:type="character" w:customStyle="1" w:styleId="cat-PassportDatagrp-26rplc-2">
    <w:name w:val="cat-PassportData grp-26 rplc-2"/>
    <w:basedOn w:val="DefaultParagraphFont"/>
  </w:style>
  <w:style w:type="character" w:customStyle="1" w:styleId="cat-UserDefinedgrp-42rplc-3">
    <w:name w:val="cat-UserDefined grp-42 rplc-3"/>
    <w:basedOn w:val="DefaultParagraphFont"/>
  </w:style>
  <w:style w:type="character" w:customStyle="1" w:styleId="cat-UserDefinedgrp-43rplc-4">
    <w:name w:val="cat-UserDefined grp-43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44rplc-6">
    <w:name w:val="cat-UserDefined grp-44 rplc-6"/>
    <w:basedOn w:val="DefaultParagraphFont"/>
  </w:style>
  <w:style w:type="character" w:customStyle="1" w:styleId="cat-ExternalSystemDefinedgrp-39rplc-7">
    <w:name w:val="cat-ExternalSystemDefined grp-39 rplc-7"/>
    <w:basedOn w:val="DefaultParagraphFont"/>
  </w:style>
  <w:style w:type="character" w:customStyle="1" w:styleId="cat-PhoneNumbergrp-31rplc-8">
    <w:name w:val="cat-PhoneNumber grp-31 rplc-8"/>
    <w:basedOn w:val="DefaultParagraphFont"/>
  </w:style>
  <w:style w:type="character" w:customStyle="1" w:styleId="cat-ExternalSystemDefinedgrp-40rplc-9">
    <w:name w:val="cat-ExternalSystemDefined grp-40 rplc-9"/>
    <w:basedOn w:val="DefaultParagraphFont"/>
  </w:style>
  <w:style w:type="character" w:customStyle="1" w:styleId="cat-Dategrp-12rplc-10">
    <w:name w:val="cat-Date grp-12 rplc-10"/>
    <w:basedOn w:val="DefaultParagraphFont"/>
  </w:style>
  <w:style w:type="character" w:customStyle="1" w:styleId="cat-Timegrp-28rplc-11">
    <w:name w:val="cat-Time grp-28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UserDefinedgrp-45rplc-13">
    <w:name w:val="cat-UserDefined grp-45 rplc-13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FIOgrp-21rplc-15">
    <w:name w:val="cat-FIO grp-21 rplc-15"/>
    <w:basedOn w:val="DefaultParagraphFont"/>
  </w:style>
  <w:style w:type="character" w:customStyle="1" w:styleId="cat-CarNumbergrp-30rplc-16">
    <w:name w:val="cat-CarNumber grp-30 rplc-16"/>
    <w:basedOn w:val="DefaultParagraphFont"/>
  </w:style>
  <w:style w:type="character" w:customStyle="1" w:styleId="cat-FIOgrp-21rplc-17">
    <w:name w:val="cat-FIO grp-21 rplc-17"/>
    <w:basedOn w:val="DefaultParagraphFont"/>
  </w:style>
  <w:style w:type="character" w:customStyle="1" w:styleId="cat-FIOgrp-21rplc-18">
    <w:name w:val="cat-FIO grp-21 rplc-18"/>
    <w:basedOn w:val="DefaultParagraphFont"/>
  </w:style>
  <w:style w:type="character" w:customStyle="1" w:styleId="cat-PhoneNumbergrp-32rplc-19">
    <w:name w:val="cat-PhoneNumber grp-32 rplc-19"/>
    <w:basedOn w:val="DefaultParagraphFont"/>
  </w:style>
  <w:style w:type="character" w:customStyle="1" w:styleId="cat-Dategrp-12rplc-20">
    <w:name w:val="cat-Date grp-12 rplc-20"/>
    <w:basedOn w:val="DefaultParagraphFont"/>
  </w:style>
  <w:style w:type="character" w:customStyle="1" w:styleId="cat-Dategrp-12rplc-21">
    <w:name w:val="cat-Date grp-12 rplc-21"/>
    <w:basedOn w:val="DefaultParagraphFont"/>
  </w:style>
  <w:style w:type="character" w:customStyle="1" w:styleId="cat-Timegrp-28rplc-22">
    <w:name w:val="cat-Time grp-28 rplc-22"/>
    <w:basedOn w:val="DefaultParagraphFont"/>
  </w:style>
  <w:style w:type="character" w:customStyle="1" w:styleId="cat-Addressgrp-5rplc-23">
    <w:name w:val="cat-Address grp-5 rplc-23"/>
    <w:basedOn w:val="DefaultParagraphFont"/>
  </w:style>
  <w:style w:type="character" w:customStyle="1" w:styleId="cat-UserDefinedgrp-46rplc-24">
    <w:name w:val="cat-UserDefined grp-46 rplc-24"/>
    <w:basedOn w:val="DefaultParagraphFont"/>
  </w:style>
  <w:style w:type="character" w:customStyle="1" w:styleId="cat-FIOgrp-21rplc-26">
    <w:name w:val="cat-FIO grp-21 rplc-26"/>
    <w:basedOn w:val="DefaultParagraphFont"/>
  </w:style>
  <w:style w:type="character" w:customStyle="1" w:styleId="cat-CarMakeModelgrp-29rplc-27">
    <w:name w:val="cat-CarMakeModel grp-29 rplc-27"/>
    <w:basedOn w:val="DefaultParagraphFont"/>
  </w:style>
  <w:style w:type="character" w:customStyle="1" w:styleId="cat-CarNumbergrp-30rplc-28">
    <w:name w:val="cat-CarNumber grp-30 rplc-28"/>
    <w:basedOn w:val="DefaultParagraphFont"/>
  </w:style>
  <w:style w:type="character" w:customStyle="1" w:styleId="cat-UserDefinedgrp-47rplc-29">
    <w:name w:val="cat-UserDefined grp-47 rplc-29"/>
    <w:basedOn w:val="DefaultParagraphFont"/>
  </w:style>
  <w:style w:type="character" w:customStyle="1" w:styleId="cat-FIOgrp-21rplc-30">
    <w:name w:val="cat-FIO grp-21 rplc-30"/>
    <w:basedOn w:val="DefaultParagraphFont"/>
  </w:style>
  <w:style w:type="character" w:customStyle="1" w:styleId="cat-Dategrp-16rplc-31">
    <w:name w:val="cat-Date grp-16 rplc-31"/>
    <w:basedOn w:val="DefaultParagraphFont"/>
  </w:style>
  <w:style w:type="character" w:customStyle="1" w:styleId="cat-FIOgrp-21rplc-32">
    <w:name w:val="cat-FIO grp-21 rplc-32"/>
    <w:basedOn w:val="DefaultParagraphFont"/>
  </w:style>
  <w:style w:type="character" w:customStyle="1" w:styleId="cat-FIOgrp-21rplc-33">
    <w:name w:val="cat-FIO grp-21 rplc-33"/>
    <w:basedOn w:val="DefaultParagraphFont"/>
  </w:style>
  <w:style w:type="character" w:customStyle="1" w:styleId="cat-FIOgrp-20rplc-34">
    <w:name w:val="cat-FIO grp-20 rplc-34"/>
    <w:basedOn w:val="DefaultParagraphFont"/>
  </w:style>
  <w:style w:type="character" w:customStyle="1" w:styleId="cat-Dategrp-18rplc-35">
    <w:name w:val="cat-Date grp-18 rplc-35"/>
    <w:basedOn w:val="DefaultParagraphFont"/>
  </w:style>
  <w:style w:type="character" w:customStyle="1" w:styleId="cat-SumInWordsgrp-25rplc-36">
    <w:name w:val="cat-SumInWords grp-25 rplc-36"/>
    <w:basedOn w:val="DefaultParagraphFont"/>
  </w:style>
  <w:style w:type="character" w:customStyle="1" w:styleId="cat-Addressgrp-10rplc-37">
    <w:name w:val="cat-Address grp-10 rplc-37"/>
    <w:basedOn w:val="DefaultParagraphFont"/>
  </w:style>
  <w:style w:type="character" w:customStyle="1" w:styleId="cat-Addressgrp-4rplc-38">
    <w:name w:val="cat-Address grp-4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FC26C934891F67C01D9E874B3BC89A02F28D801738C3132439886882B2B21381E05B0426644C97n5w5J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